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67" w:rsidRPr="00131EDD" w:rsidRDefault="00F44E0E" w:rsidP="00F44E0E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ЗАТВЕРДЖУЮ</w:t>
      </w:r>
    </w:p>
    <w:p w:rsidR="00456B67" w:rsidRPr="00131EDD" w:rsidRDefault="006E0FA1" w:rsidP="00BA5B01">
      <w:pPr>
        <w:spacing w:after="0" w:line="240" w:lineRule="auto"/>
        <w:ind w:left="4956" w:righ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CC087F">
        <w:rPr>
          <w:rFonts w:ascii="Times New Roman" w:hAnsi="Times New Roman"/>
          <w:b/>
          <w:sz w:val="28"/>
          <w:szCs w:val="28"/>
          <w:lang w:val="uk-UA"/>
        </w:rPr>
        <w:t xml:space="preserve">иректор департаменту </w:t>
      </w:r>
      <w:r w:rsidR="00BA5B01">
        <w:rPr>
          <w:rFonts w:ascii="Times New Roman" w:hAnsi="Times New Roman"/>
          <w:b/>
          <w:sz w:val="28"/>
          <w:szCs w:val="28"/>
          <w:lang w:val="uk-UA"/>
        </w:rPr>
        <w:t>транспорту та міської мобільності міської ради</w:t>
      </w:r>
      <w:r w:rsidR="00CC08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56B67" w:rsidRPr="00131EDD" w:rsidRDefault="00260220" w:rsidP="00BA5B01">
      <w:pPr>
        <w:spacing w:after="0" w:line="240" w:lineRule="auto"/>
        <w:ind w:left="4956" w:right="14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</w:t>
      </w:r>
      <w:r w:rsidR="00BA5B01">
        <w:rPr>
          <w:rFonts w:ascii="Times New Roman" w:hAnsi="Times New Roman"/>
          <w:b/>
          <w:sz w:val="28"/>
          <w:szCs w:val="28"/>
          <w:lang w:val="uk-UA"/>
        </w:rPr>
        <w:t>______________Андрій СОРОКІН</w:t>
      </w:r>
    </w:p>
    <w:p w:rsidR="00456B67" w:rsidRPr="00131EDD" w:rsidRDefault="00456B67" w:rsidP="00456B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140D5A" w:rsidRDefault="00B35CBA" w:rsidP="00140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Звіт</w:t>
      </w:r>
      <w:r w:rsidR="00140D5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56B67" w:rsidRPr="00E4297B">
        <w:rPr>
          <w:rFonts w:ascii="Times New Roman" w:hAnsi="Times New Roman"/>
          <w:b/>
          <w:sz w:val="28"/>
          <w:szCs w:val="28"/>
          <w:lang w:val="uk-UA"/>
        </w:rPr>
        <w:t xml:space="preserve">роботи </w:t>
      </w:r>
      <w:r w:rsidR="00A61C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56B67" w:rsidRPr="00E4297B" w:rsidRDefault="00A61CF2" w:rsidP="00BA5B0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департаменту </w:t>
      </w:r>
      <w:r w:rsidR="00BA5B01">
        <w:rPr>
          <w:rFonts w:ascii="Times New Roman" w:hAnsi="Times New Roman"/>
          <w:b/>
          <w:sz w:val="28"/>
          <w:szCs w:val="28"/>
          <w:lang w:val="uk-UA"/>
        </w:rPr>
        <w:t>транспорту та міської мобільності</w:t>
      </w:r>
      <w:r w:rsidR="007C75D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56B67" w:rsidRPr="00E4297B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4F3D04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2E1CAD">
        <w:rPr>
          <w:rFonts w:ascii="Times New Roman" w:hAnsi="Times New Roman"/>
          <w:b/>
          <w:sz w:val="28"/>
          <w:szCs w:val="28"/>
          <w:lang w:val="uk-UA"/>
        </w:rPr>
        <w:t>2</w:t>
      </w:r>
      <w:r w:rsidR="005441EB">
        <w:rPr>
          <w:rFonts w:ascii="Times New Roman" w:hAnsi="Times New Roman"/>
          <w:b/>
          <w:sz w:val="28"/>
          <w:szCs w:val="28"/>
          <w:lang w:val="uk-UA"/>
        </w:rPr>
        <w:t>3</w:t>
      </w:r>
      <w:r w:rsidR="00456B67" w:rsidRPr="00E4297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456B67" w:rsidRPr="00E4297B" w:rsidRDefault="00456B67" w:rsidP="00456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529"/>
        <w:gridCol w:w="1563"/>
        <w:gridCol w:w="3386"/>
      </w:tblGrid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№</w:t>
            </w:r>
          </w:p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п/п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Заходи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Термін виконання</w:t>
            </w:r>
          </w:p>
        </w:tc>
        <w:tc>
          <w:tcPr>
            <w:tcW w:w="3386" w:type="dxa"/>
            <w:vAlign w:val="center"/>
          </w:tcPr>
          <w:p w:rsidR="00E37874" w:rsidRPr="00DF5F30" w:rsidRDefault="00E37874" w:rsidP="00366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Звіт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</w:pPr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>Підготовка проектів розпоряджень міського голови, рішень виконавчого комітету, рішень міської ради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F44E0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Підготовлено в кількості:</w:t>
            </w:r>
          </w:p>
          <w:p w:rsidR="00E37874" w:rsidRPr="00DF5F30" w:rsidRDefault="00E37874" w:rsidP="00F44E0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Рішень МР – </w:t>
            </w:r>
            <w:r w:rsidR="009B63BC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15</w:t>
            </w:r>
          </w:p>
          <w:p w:rsidR="00E37874" w:rsidRPr="00DF5F30" w:rsidRDefault="00E37874" w:rsidP="00F44E0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Рішень ВК МР – </w:t>
            </w:r>
            <w:r w:rsidR="009B63BC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59</w:t>
            </w:r>
          </w:p>
          <w:p w:rsidR="00E37874" w:rsidRPr="00DF5F30" w:rsidRDefault="00E37874" w:rsidP="009B63B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Розпоряджень – </w:t>
            </w:r>
            <w:r w:rsidR="009B63BC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24</w:t>
            </w: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</w:pPr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>Робота із зверненнями громадян, листами підприємств, організацій та установ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C" w:rsidRPr="00DF5F30" w:rsidRDefault="0052280C" w:rsidP="00F44E0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Вихідних листів</w:t>
            </w:r>
          </w:p>
          <w:p w:rsidR="0052280C" w:rsidRPr="00DF5F30" w:rsidRDefault="0052280C" w:rsidP="00F44E0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підготовано 1</w:t>
            </w:r>
            <w:r w:rsidR="009B63BC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3320</w:t>
            </w:r>
          </w:p>
          <w:p w:rsidR="0052280C" w:rsidRPr="00DF5F30" w:rsidRDefault="0052280C" w:rsidP="00F44E0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Листів  опрацьовано   </w:t>
            </w:r>
            <w:r w:rsidR="009B63BC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5234</w:t>
            </w:r>
          </w:p>
          <w:p w:rsidR="00E37874" w:rsidRPr="00DF5F30" w:rsidRDefault="0052280C" w:rsidP="009B63BC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Звернень опрацьовано   </w:t>
            </w:r>
            <w:r w:rsidR="009B63BC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940</w:t>
            </w:r>
          </w:p>
        </w:tc>
      </w:tr>
      <w:tr w:rsidR="0052280C" w:rsidRPr="00DF5F30" w:rsidTr="00DF5F30">
        <w:trPr>
          <w:trHeight w:val="687"/>
        </w:trPr>
        <w:tc>
          <w:tcPr>
            <w:tcW w:w="721" w:type="dxa"/>
            <w:vAlign w:val="center"/>
          </w:tcPr>
          <w:p w:rsidR="0052280C" w:rsidRPr="00DF5F30" w:rsidRDefault="0052280C" w:rsidP="0052280C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C" w:rsidRPr="00DF5F30" w:rsidRDefault="0052280C" w:rsidP="0052280C">
            <w:pPr>
              <w:pStyle w:val="a6"/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</w:pPr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>Забезпечення виконання заходів Стратегії 3.0 в межах повноважень департаменту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C" w:rsidRPr="00DF5F30" w:rsidRDefault="0052280C" w:rsidP="0052280C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C" w:rsidRPr="00DF5F30" w:rsidRDefault="0052280C" w:rsidP="00F44E0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Виконано</w:t>
            </w:r>
          </w:p>
        </w:tc>
      </w:tr>
      <w:tr w:rsidR="00E37874" w:rsidRPr="00DF5F30" w:rsidTr="00DF5F30">
        <w:trPr>
          <w:trHeight w:val="2168"/>
        </w:trPr>
        <w:tc>
          <w:tcPr>
            <w:tcW w:w="721" w:type="dxa"/>
            <w:vAlign w:val="center"/>
          </w:tcPr>
          <w:p w:rsidR="00E37874" w:rsidRPr="00DF5F30" w:rsidRDefault="0052280C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4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</w:pPr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 xml:space="preserve">Організація стабільної роботи міського пасажирського транспорту, забезпечення потреб мешканців у перевезеннях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F44E0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Організація стабільно</w:t>
            </w:r>
            <w:r w:rsidR="001F6852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ї</w:t>
            </w: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роботи міського пасажирського транспорту проводиться </w:t>
            </w:r>
            <w:r w:rsidR="00F25F16"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на постійній основі </w:t>
            </w:r>
            <w:r w:rsidR="003663E9"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з дотриманням </w:t>
            </w:r>
            <w:r w:rsidR="00BA5B01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обмежень під час військового стану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52280C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5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</w:pPr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 xml:space="preserve">Організація та забезпечення безпеки дорожнього руху в місті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F44E0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Проводиться постійно протягом року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52280C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6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B01" w:rsidRPr="00DF5F30" w:rsidRDefault="00E37874" w:rsidP="003663E9">
            <w:pPr>
              <w:pStyle w:val="a6"/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</w:pPr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 xml:space="preserve">Підготовка та організація масових перевезень громадян в поминальні дні в с. Лука </w:t>
            </w:r>
            <w:proofErr w:type="spellStart"/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>Мелешківська</w:t>
            </w:r>
            <w:proofErr w:type="spellEnd"/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 xml:space="preserve"> та по вул. </w:t>
            </w:r>
            <w:proofErr w:type="spellStart"/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>О.Кобилянської</w:t>
            </w:r>
            <w:proofErr w:type="spellEnd"/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 xml:space="preserve"> </w:t>
            </w:r>
          </w:p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</w:pPr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>(район П</w:t>
            </w:r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ru-RU" w:eastAsia="uk-UA"/>
              </w:rPr>
              <w:t>’</w:t>
            </w:r>
            <w:proofErr w:type="spellStart"/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>ятничани</w:t>
            </w:r>
            <w:proofErr w:type="spellEnd"/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Травень,</w:t>
            </w:r>
          </w:p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червень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3E5FAD" w:rsidP="00F44E0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Масові перевезення не бу</w:t>
            </w:r>
            <w:r w:rsidR="003A2D30"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ли організовані у зв’язку з </w:t>
            </w:r>
            <w:r w:rsidR="0052280C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військовим станом в країні</w:t>
            </w:r>
          </w:p>
        </w:tc>
      </w:tr>
      <w:tr w:rsidR="00E37874" w:rsidRPr="00DF5F30" w:rsidTr="00DF5F30">
        <w:trPr>
          <w:trHeight w:val="1468"/>
        </w:trPr>
        <w:tc>
          <w:tcPr>
            <w:tcW w:w="721" w:type="dxa"/>
            <w:vAlign w:val="center"/>
          </w:tcPr>
          <w:p w:rsidR="00E37874" w:rsidRPr="00DF5F30" w:rsidRDefault="0052280C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7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</w:pPr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>Транспортне забезпечення заходів, в рамках святкування Дня Європи, Дня міста, Нового року та Різдва Христового, інших загальноміських заходів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4" w:rsidRPr="00DF5F30" w:rsidRDefault="00E37874" w:rsidP="00F44E0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Всі заходи були забезпечені транспортом відповідно до наданих графіків</w:t>
            </w:r>
            <w:r w:rsidR="00F44E0E"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та з встановленими </w:t>
            </w:r>
            <w:r w:rsidR="003E5FAD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обмеженнями</w:t>
            </w:r>
            <w:r w:rsidR="003A2D30"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, у зв’язку із </w:t>
            </w:r>
            <w:r w:rsidR="0052280C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військовим станом в країні</w:t>
            </w:r>
          </w:p>
        </w:tc>
      </w:tr>
      <w:tr w:rsidR="0052280C" w:rsidRPr="00DF5F30" w:rsidTr="00DF5F30">
        <w:tc>
          <w:tcPr>
            <w:tcW w:w="721" w:type="dxa"/>
            <w:vAlign w:val="center"/>
          </w:tcPr>
          <w:p w:rsidR="0052280C" w:rsidRPr="00DF5F30" w:rsidRDefault="0052280C" w:rsidP="0052280C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C" w:rsidRPr="00DF5F30" w:rsidRDefault="0052280C" w:rsidP="0052280C">
            <w:pPr>
              <w:pStyle w:val="a6"/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</w:pPr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 xml:space="preserve">Реконструкція аеродрому та аеровокзалу </w:t>
            </w:r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br/>
              <w:t xml:space="preserve">(з інженерними мережами) </w:t>
            </w:r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br/>
              <w:t>КП «Аеропорт Вінниця»</w:t>
            </w:r>
          </w:p>
        </w:tc>
        <w:tc>
          <w:tcPr>
            <w:tcW w:w="1563" w:type="dxa"/>
          </w:tcPr>
          <w:p w:rsidR="0052280C" w:rsidRPr="00DF5F30" w:rsidRDefault="0052280C" w:rsidP="0052280C">
            <w:pPr>
              <w:jc w:val="center"/>
              <w:rPr>
                <w:sz w:val="25"/>
                <w:szCs w:val="25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52280C" w:rsidRPr="00DF5F30" w:rsidRDefault="0052280C" w:rsidP="00F44E0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Реконструкція не проводиться у зв’язку військовим станом в країні</w:t>
            </w:r>
          </w:p>
        </w:tc>
      </w:tr>
      <w:tr w:rsidR="0052280C" w:rsidRPr="00DF5F30" w:rsidTr="00DF5F30">
        <w:tc>
          <w:tcPr>
            <w:tcW w:w="721" w:type="dxa"/>
            <w:vAlign w:val="center"/>
          </w:tcPr>
          <w:p w:rsidR="0052280C" w:rsidRPr="00DF5F30" w:rsidRDefault="0052280C" w:rsidP="0052280C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0C" w:rsidRPr="00DF5F30" w:rsidRDefault="0052280C" w:rsidP="0052280C">
            <w:pPr>
              <w:pStyle w:val="a6"/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</w:pPr>
            <w:r w:rsidRPr="00DF5F30">
              <w:rPr>
                <w:rFonts w:ascii="Times New Roman" w:hAnsi="Times New Roman"/>
                <w:color w:val="000000"/>
                <w:sz w:val="25"/>
                <w:szCs w:val="25"/>
                <w:lang w:val="uk-UA" w:eastAsia="uk-UA"/>
              </w:rPr>
              <w:t>Оновлення рухомого складу громадського транспорту</w:t>
            </w:r>
          </w:p>
        </w:tc>
        <w:tc>
          <w:tcPr>
            <w:tcW w:w="1563" w:type="dxa"/>
          </w:tcPr>
          <w:p w:rsidR="0052280C" w:rsidRPr="00DF5F30" w:rsidRDefault="0052280C" w:rsidP="0052280C">
            <w:pPr>
              <w:jc w:val="center"/>
              <w:rPr>
                <w:sz w:val="25"/>
                <w:szCs w:val="25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DF5F30" w:rsidRPr="00DF5F30" w:rsidRDefault="00DF5F30" w:rsidP="00DF5F3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2023 року фахівцями КП «ВТК» виконано роботи по зборці 11-ти тролейбусів «</w:t>
            </w:r>
            <w:proofErr w:type="spellStart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VinLine</w:t>
            </w:r>
            <w:proofErr w:type="spellEnd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». Тролейбуси енергоощадні, </w:t>
            </w:r>
            <w:proofErr w:type="spellStart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низькопідлогові</w:t>
            </w:r>
            <w:proofErr w:type="spellEnd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  <w:p w:rsidR="00DF5F30" w:rsidRPr="00DF5F30" w:rsidRDefault="00DF5F30" w:rsidP="00DF5F3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Введено в експлуатацію 2</w:t>
            </w:r>
            <w:r w:rsidR="00711D9B">
              <w:rPr>
                <w:rFonts w:ascii="Times New Roman" w:hAnsi="Times New Roman"/>
                <w:sz w:val="25"/>
                <w:szCs w:val="25"/>
                <w:lang w:val="uk-UA"/>
              </w:rPr>
              <w:t>1</w:t>
            </w:r>
            <w:bookmarkStart w:id="0" w:name="_GoBack"/>
            <w:bookmarkEnd w:id="0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тролейбусів </w:t>
            </w:r>
            <w:proofErr w:type="spellStart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Solaris</w:t>
            </w:r>
            <w:proofErr w:type="spellEnd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spellStart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Trollino</w:t>
            </w:r>
            <w:proofErr w:type="spellEnd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12, закуплених в м. Люблін </w:t>
            </w: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lastRenderedPageBreak/>
              <w:t xml:space="preserve">(Польща) наприкінці 2022 року. </w:t>
            </w:r>
          </w:p>
          <w:p w:rsidR="00DF5F30" w:rsidRPr="00DF5F30" w:rsidRDefault="00DF5F30" w:rsidP="00DF5F3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В рамках Угоди щодо надання технічної та фінансової допомоги для передачі вживаних трамваїв до міста Вінниця (ІІ фаза Меморандуму про взаємодію між містом Вінницею і Урядом Швейцарської Конфедерації), КП «ВТК» отримано 28 трамвайних вагонів з м. Цюріх. </w:t>
            </w:r>
          </w:p>
          <w:p w:rsidR="0052280C" w:rsidRPr="00DF5F30" w:rsidRDefault="00DF5F30" w:rsidP="00DF5F30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Перед випуском на лінію трамваї проходять адаптацію до вітчизняних вимог та відповідну сертифікацію. Наразі вже 16 трамваїв курсують містом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52280C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lastRenderedPageBreak/>
              <w:t>10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DD7F27">
            <w:pPr>
              <w:pStyle w:val="a6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Облаштування </w:t>
            </w:r>
            <w:proofErr w:type="spellStart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велодоріжок</w:t>
            </w:r>
            <w:proofErr w:type="spellEnd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на виконання «Програми розвитку велосипедного руху м. Вінниці 20</w:t>
            </w:r>
            <w:r w:rsidR="00DD7F27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21</w:t>
            </w: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-202</w:t>
            </w:r>
            <w:r w:rsidR="00DD7F27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3</w:t>
            </w: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»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CE6931" w:rsidRPr="00DF5F30" w:rsidRDefault="00CE6931" w:rsidP="00CE693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У 2023 році, в складі нового будівництва і капітального ремонту вулиць та доріг влаштовано 2,52 км нових велосипедних доріжок. </w:t>
            </w:r>
          </w:p>
          <w:p w:rsidR="00E37874" w:rsidRPr="00DF5F30" w:rsidRDefault="00CE6931" w:rsidP="00CE69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5"/>
                <w:szCs w:val="25"/>
                <w:lang w:val="ru-RU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Станом на 1 січня 2024 року загальна протяжність велосипедної мережі складає 93,22 км.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52280C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11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Проведення заходів спрямованих на популяризацію велосипедного руху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E37874" w:rsidRPr="00DF5F30" w:rsidRDefault="00F44E0E" w:rsidP="00F44E0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Заходили не проводились у зв’язку з військовим станом 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BA5B01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12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3663E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Організація проведення перевірок територій Вінницької міської територіальної громади щодо забезпечення безпеки дорожнього руху, належного дотримання правил паркування, зупинки та стоянки транспортних засобів на території Вінницької міської об’єднаної територіальної громад.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E37874" w:rsidRPr="00DF5F30" w:rsidRDefault="00E37874" w:rsidP="00F44E0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Організовано роботу на постійній основі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BA5B01" w:rsidP="00BA5B01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13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3663E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Співпраця з органами виконавчої влади, місцевого самоврядування, установами та організаціями пр</w:t>
            </w:r>
            <w:r w:rsidR="00BA5B01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и виконанні повноважень відділу паркування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E37874" w:rsidRPr="00DF5F30" w:rsidRDefault="00E37874" w:rsidP="00F44E0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Проводиться на постійній основі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BA5B01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14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</w:tcPr>
          <w:p w:rsidR="00E37874" w:rsidRPr="00DF5F30" w:rsidRDefault="00E37874" w:rsidP="003663E9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Участь в обговоренні та узгодженні проектів щодо встановлення </w:t>
            </w:r>
            <w:proofErr w:type="spellStart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паркувальних</w:t>
            </w:r>
            <w:proofErr w:type="spellEnd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місць на території Вінницької міської об’єднаної територіальної громади, іншої технічної документації з даного питання.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E37874" w:rsidRPr="00DF5F30" w:rsidRDefault="00E37874" w:rsidP="00F44E0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Виконано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BA5B01" w:rsidP="00DD7F27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15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</w:tcPr>
          <w:p w:rsidR="00E37874" w:rsidRPr="00DF5F30" w:rsidRDefault="00E37874" w:rsidP="00BA5B0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Внесення пропозиції щодо розвитку та поліпшення стану паркування транспортних засобів на території Вінницької міської територіальної громади, удосконалення правил паркування, зупинки та стоянки на території Вінницької міської територіальної громади.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E37874" w:rsidRPr="00DF5F30" w:rsidRDefault="0049322D" w:rsidP="0049322D">
            <w:pPr>
              <w:spacing w:after="0" w:line="240" w:lineRule="auto"/>
              <w:rPr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Затверджено перелік відведених місць (майданчиків) для паркування транспортних засобів на вулицях Вінницької МТГ (рішення виконавчого комітету від 18.07.2022 року № 1391).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BA5B01" w:rsidP="00DD7F27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lastRenderedPageBreak/>
              <w:t>16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3663E9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Виконання заходів міських програм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E37874" w:rsidRPr="00DF5F30" w:rsidRDefault="00E37874" w:rsidP="00F44E0E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Виконано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BA5B01" w:rsidP="00DD7F27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17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Проведення </w:t>
            </w:r>
            <w:proofErr w:type="spellStart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закупівель</w:t>
            </w:r>
            <w:proofErr w:type="spellEnd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товарів, робіт та послуг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CE6931" w:rsidRPr="00DF5F30" w:rsidRDefault="00D2445C" w:rsidP="00CE693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Б</w:t>
            </w:r>
            <w:r w:rsidR="00CE6931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ез вик</w:t>
            </w: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ористання електронної системи 41 закупівля</w:t>
            </w:r>
          </w:p>
          <w:p w:rsidR="00E37874" w:rsidRPr="00DF5F30" w:rsidRDefault="00E37874" w:rsidP="00CE6931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Через електронну систему </w:t>
            </w:r>
            <w:proofErr w:type="spellStart"/>
            <w:r w:rsidRPr="00DF5F30">
              <w:rPr>
                <w:rFonts w:ascii="Times New Roman" w:hAnsi="Times New Roman"/>
                <w:sz w:val="25"/>
                <w:szCs w:val="25"/>
              </w:rPr>
              <w:t>ProZorro</w:t>
            </w:r>
            <w:proofErr w:type="spellEnd"/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було проведено</w:t>
            </w:r>
            <w:r w:rsidR="00A82D5D"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r w:rsidR="00D2445C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5</w:t>
            </w:r>
            <w:r w:rsidR="003663E9"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процедур</w:t>
            </w:r>
            <w:r w:rsidR="00A82D5D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а</w:t>
            </w:r>
            <w:r w:rsidR="00CE6931"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відкритих торгів</w:t>
            </w:r>
            <w:r w:rsidR="00D2445C" w:rsidRPr="00DF5F30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(з особливостями)</w:t>
            </w:r>
          </w:p>
          <w:p w:rsidR="00CE6931" w:rsidRPr="00DF5F30" w:rsidRDefault="00CE6931" w:rsidP="00CE6931">
            <w:pPr>
              <w:spacing w:after="0" w:line="240" w:lineRule="auto"/>
              <w:rPr>
                <w:sz w:val="25"/>
                <w:szCs w:val="25"/>
                <w:lang w:val="ru-RU"/>
              </w:rPr>
            </w:pP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BA5B01" w:rsidP="00DD7F27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18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Перевірка звітності та виконання планів, заходів підпорядкованих департаменту комунальних підприємств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E37874" w:rsidRPr="00DF5F30" w:rsidRDefault="00E37874" w:rsidP="00F44E0E">
            <w:pPr>
              <w:spacing w:after="0" w:line="240" w:lineRule="auto"/>
              <w:rPr>
                <w:sz w:val="25"/>
                <w:szCs w:val="25"/>
                <w:lang w:val="ru-RU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Перевірено фінансову звітність та виконання фінансових планів підпорядкованих комунальних підприємств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BA5B01" w:rsidP="00DD7F27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19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Погодження проектів фінансових планів, штатних розписів, планів використання бюджетних коштів та здійснення господарських операцій підпорядкованих департаменту комунальних підприємств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E37874" w:rsidRPr="00DF5F30" w:rsidRDefault="00E37874" w:rsidP="00F44E0E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Виконано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E37874" w:rsidP="00DD7F27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2</w:t>
            </w:r>
            <w:r w:rsidR="00BA5B01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0</w:t>
            </w: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Розробка проектів паспортів бюджетних програм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E37874" w:rsidRPr="00DF5F30" w:rsidRDefault="00E37874" w:rsidP="00F44E0E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Виконано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BA5B01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21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Проведення розрахунків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E37874" w:rsidRPr="00DF5F30" w:rsidRDefault="00E37874" w:rsidP="00F44E0E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Виконано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BA5B01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22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Ведення бухгалтерського обліку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E37874" w:rsidRPr="00DF5F30" w:rsidRDefault="00E37874" w:rsidP="00F44E0E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Виконано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BA5B01" w:rsidP="00DD7F27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23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Подання бюджетної, фінансової, податкової, статистичної та іншої звітності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E37874" w:rsidRPr="00DF5F30" w:rsidRDefault="00E37874" w:rsidP="00F44E0E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Виконано</w:t>
            </w:r>
          </w:p>
        </w:tc>
      </w:tr>
      <w:tr w:rsidR="00E37874" w:rsidRPr="00DF5F30" w:rsidTr="00DF5F30">
        <w:tc>
          <w:tcPr>
            <w:tcW w:w="721" w:type="dxa"/>
            <w:vAlign w:val="center"/>
          </w:tcPr>
          <w:p w:rsidR="00E37874" w:rsidRPr="00DF5F30" w:rsidRDefault="00BA5B01" w:rsidP="00DD7F27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24</w:t>
            </w:r>
            <w:r w:rsidR="00E37874" w:rsidRPr="00DF5F30">
              <w:rPr>
                <w:rFonts w:ascii="Times New Roman" w:hAnsi="Times New Roman"/>
                <w:sz w:val="25"/>
                <w:szCs w:val="25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E37874" w:rsidRPr="00DF5F30" w:rsidRDefault="00E37874" w:rsidP="003663E9">
            <w:pPr>
              <w:pStyle w:val="a6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Формування пропозицій до проекту міського бюджету та внесення змін до його річного та помісячного розпису</w:t>
            </w:r>
          </w:p>
        </w:tc>
        <w:tc>
          <w:tcPr>
            <w:tcW w:w="1563" w:type="dxa"/>
            <w:vAlign w:val="center"/>
          </w:tcPr>
          <w:p w:rsidR="00E37874" w:rsidRPr="00DF5F30" w:rsidRDefault="00E37874" w:rsidP="003663E9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E37874" w:rsidRPr="00DF5F30" w:rsidRDefault="00E37874" w:rsidP="00F44E0E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Виконано</w:t>
            </w:r>
          </w:p>
        </w:tc>
      </w:tr>
      <w:tr w:rsidR="00BA5B01" w:rsidRPr="00DF5F30" w:rsidTr="00DF5F30">
        <w:tc>
          <w:tcPr>
            <w:tcW w:w="721" w:type="dxa"/>
            <w:vAlign w:val="center"/>
          </w:tcPr>
          <w:p w:rsidR="00BA5B01" w:rsidRPr="00DF5F30" w:rsidRDefault="00BA5B01" w:rsidP="00BA5B01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25.</w:t>
            </w:r>
          </w:p>
        </w:tc>
        <w:tc>
          <w:tcPr>
            <w:tcW w:w="5529" w:type="dxa"/>
            <w:vAlign w:val="center"/>
          </w:tcPr>
          <w:p w:rsidR="00BA5B01" w:rsidRPr="00DF5F30" w:rsidRDefault="00BA5B01" w:rsidP="00BA5B01">
            <w:pPr>
              <w:pStyle w:val="a6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Координація роботи підприємств міського пасажирського транспорту, транспортної інфраструктури та підприємств зв'язку Вінницької міської територіальної громади</w:t>
            </w:r>
          </w:p>
        </w:tc>
        <w:tc>
          <w:tcPr>
            <w:tcW w:w="1563" w:type="dxa"/>
            <w:vAlign w:val="center"/>
          </w:tcPr>
          <w:p w:rsidR="00BA5B01" w:rsidRPr="00DF5F30" w:rsidRDefault="00BA5B01" w:rsidP="00BA5B01">
            <w:pPr>
              <w:pStyle w:val="a6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Протягом року</w:t>
            </w:r>
          </w:p>
        </w:tc>
        <w:tc>
          <w:tcPr>
            <w:tcW w:w="3386" w:type="dxa"/>
            <w:vAlign w:val="center"/>
          </w:tcPr>
          <w:p w:rsidR="00BA5B01" w:rsidRPr="00DF5F30" w:rsidRDefault="00BA5B01" w:rsidP="00F44E0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DF5F30">
              <w:rPr>
                <w:rFonts w:ascii="Times New Roman" w:hAnsi="Times New Roman"/>
                <w:sz w:val="25"/>
                <w:szCs w:val="25"/>
                <w:lang w:val="uk-UA"/>
              </w:rPr>
              <w:t>Виконано</w:t>
            </w:r>
          </w:p>
        </w:tc>
      </w:tr>
    </w:tbl>
    <w:p w:rsidR="00462B2A" w:rsidRPr="0052280C" w:rsidRDefault="00462B2A" w:rsidP="006F65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sectPr w:rsidR="00462B2A" w:rsidRPr="0052280C" w:rsidSect="00B5661D">
      <w:pgSz w:w="11907" w:h="16839" w:code="9"/>
      <w:pgMar w:top="567" w:right="425" w:bottom="568" w:left="1701" w:header="708" w:footer="708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483"/>
    <w:multiLevelType w:val="hybridMultilevel"/>
    <w:tmpl w:val="CADCE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5660"/>
    <w:multiLevelType w:val="hybridMultilevel"/>
    <w:tmpl w:val="82D2599A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5308"/>
    <w:multiLevelType w:val="hybridMultilevel"/>
    <w:tmpl w:val="1CAC3D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330352"/>
    <w:multiLevelType w:val="hybridMultilevel"/>
    <w:tmpl w:val="1B920C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2BBA"/>
    <w:multiLevelType w:val="hybridMultilevel"/>
    <w:tmpl w:val="81CA8B0C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A29CE"/>
    <w:multiLevelType w:val="hybridMultilevel"/>
    <w:tmpl w:val="3D6472C2"/>
    <w:lvl w:ilvl="0" w:tplc="FE7EE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83C16"/>
    <w:multiLevelType w:val="hybridMultilevel"/>
    <w:tmpl w:val="9A9AA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15926"/>
    <w:multiLevelType w:val="hybridMultilevel"/>
    <w:tmpl w:val="9008257E"/>
    <w:lvl w:ilvl="0" w:tplc="9BC0AE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24E16"/>
    <w:multiLevelType w:val="hybridMultilevel"/>
    <w:tmpl w:val="6298C4E6"/>
    <w:lvl w:ilvl="0" w:tplc="E5AEF6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67"/>
    <w:rsid w:val="00053D38"/>
    <w:rsid w:val="000756DC"/>
    <w:rsid w:val="000772E3"/>
    <w:rsid w:val="00080B0C"/>
    <w:rsid w:val="000B4DA2"/>
    <w:rsid w:val="000B5221"/>
    <w:rsid w:val="000D01DA"/>
    <w:rsid w:val="000E7F33"/>
    <w:rsid w:val="000F5B19"/>
    <w:rsid w:val="000F617D"/>
    <w:rsid w:val="00112CB6"/>
    <w:rsid w:val="00131EDD"/>
    <w:rsid w:val="00135DA2"/>
    <w:rsid w:val="00140D5A"/>
    <w:rsid w:val="001555D9"/>
    <w:rsid w:val="00181A70"/>
    <w:rsid w:val="001B7E56"/>
    <w:rsid w:val="001F0FC8"/>
    <w:rsid w:val="001F6852"/>
    <w:rsid w:val="00224BC8"/>
    <w:rsid w:val="0025107D"/>
    <w:rsid w:val="00255D92"/>
    <w:rsid w:val="00260220"/>
    <w:rsid w:val="002A09FC"/>
    <w:rsid w:val="002A2457"/>
    <w:rsid w:val="002A775D"/>
    <w:rsid w:val="002B112C"/>
    <w:rsid w:val="002E1CAD"/>
    <w:rsid w:val="00336792"/>
    <w:rsid w:val="00346CCD"/>
    <w:rsid w:val="003663E9"/>
    <w:rsid w:val="003A2D30"/>
    <w:rsid w:val="003B36C1"/>
    <w:rsid w:val="003E5FAD"/>
    <w:rsid w:val="003F211C"/>
    <w:rsid w:val="003F39E6"/>
    <w:rsid w:val="003F61B9"/>
    <w:rsid w:val="00400765"/>
    <w:rsid w:val="00437259"/>
    <w:rsid w:val="00456B67"/>
    <w:rsid w:val="00462B2A"/>
    <w:rsid w:val="00473434"/>
    <w:rsid w:val="00477AA7"/>
    <w:rsid w:val="0049322D"/>
    <w:rsid w:val="004C5913"/>
    <w:rsid w:val="004C684F"/>
    <w:rsid w:val="004D7892"/>
    <w:rsid w:val="004F3D04"/>
    <w:rsid w:val="0052280C"/>
    <w:rsid w:val="00535F2E"/>
    <w:rsid w:val="00541DE2"/>
    <w:rsid w:val="005441EB"/>
    <w:rsid w:val="005514E5"/>
    <w:rsid w:val="00560818"/>
    <w:rsid w:val="00575423"/>
    <w:rsid w:val="00583982"/>
    <w:rsid w:val="00584FC5"/>
    <w:rsid w:val="005A14F6"/>
    <w:rsid w:val="005B463A"/>
    <w:rsid w:val="005B483E"/>
    <w:rsid w:val="005C07B5"/>
    <w:rsid w:val="005E3B21"/>
    <w:rsid w:val="006252BA"/>
    <w:rsid w:val="00645B8C"/>
    <w:rsid w:val="00675FDF"/>
    <w:rsid w:val="00694264"/>
    <w:rsid w:val="006A73B1"/>
    <w:rsid w:val="006D7665"/>
    <w:rsid w:val="006E0FA1"/>
    <w:rsid w:val="006F654F"/>
    <w:rsid w:val="0070161A"/>
    <w:rsid w:val="00705855"/>
    <w:rsid w:val="00711D9B"/>
    <w:rsid w:val="007441E2"/>
    <w:rsid w:val="00746F17"/>
    <w:rsid w:val="007554E1"/>
    <w:rsid w:val="00764118"/>
    <w:rsid w:val="007751BA"/>
    <w:rsid w:val="007915A2"/>
    <w:rsid w:val="007B0051"/>
    <w:rsid w:val="007C75D8"/>
    <w:rsid w:val="007F0590"/>
    <w:rsid w:val="008330E9"/>
    <w:rsid w:val="00835922"/>
    <w:rsid w:val="00844505"/>
    <w:rsid w:val="00847C97"/>
    <w:rsid w:val="008617EA"/>
    <w:rsid w:val="00864023"/>
    <w:rsid w:val="00873910"/>
    <w:rsid w:val="00874D19"/>
    <w:rsid w:val="008B0F3D"/>
    <w:rsid w:val="008C6F3F"/>
    <w:rsid w:val="008D295D"/>
    <w:rsid w:val="008F2E8D"/>
    <w:rsid w:val="008F56D4"/>
    <w:rsid w:val="00904C0B"/>
    <w:rsid w:val="00953018"/>
    <w:rsid w:val="00992EC2"/>
    <w:rsid w:val="009B63BC"/>
    <w:rsid w:val="009C0227"/>
    <w:rsid w:val="009C0A04"/>
    <w:rsid w:val="009C49CA"/>
    <w:rsid w:val="009D0EB3"/>
    <w:rsid w:val="009F680A"/>
    <w:rsid w:val="00A0344D"/>
    <w:rsid w:val="00A11BB9"/>
    <w:rsid w:val="00A3348F"/>
    <w:rsid w:val="00A44382"/>
    <w:rsid w:val="00A6023A"/>
    <w:rsid w:val="00A61CF2"/>
    <w:rsid w:val="00A65B45"/>
    <w:rsid w:val="00A7406F"/>
    <w:rsid w:val="00A82D5D"/>
    <w:rsid w:val="00A932AB"/>
    <w:rsid w:val="00A945CE"/>
    <w:rsid w:val="00A94695"/>
    <w:rsid w:val="00AF6707"/>
    <w:rsid w:val="00B053C9"/>
    <w:rsid w:val="00B35CBA"/>
    <w:rsid w:val="00B44A50"/>
    <w:rsid w:val="00B5661D"/>
    <w:rsid w:val="00B90357"/>
    <w:rsid w:val="00B90F43"/>
    <w:rsid w:val="00B96222"/>
    <w:rsid w:val="00BA0AD8"/>
    <w:rsid w:val="00BA5B01"/>
    <w:rsid w:val="00BA7807"/>
    <w:rsid w:val="00BC6409"/>
    <w:rsid w:val="00BF6FB8"/>
    <w:rsid w:val="00BF77D6"/>
    <w:rsid w:val="00C3248F"/>
    <w:rsid w:val="00C5206F"/>
    <w:rsid w:val="00C622B3"/>
    <w:rsid w:val="00C767AF"/>
    <w:rsid w:val="00C922C1"/>
    <w:rsid w:val="00CA14E6"/>
    <w:rsid w:val="00CB1C63"/>
    <w:rsid w:val="00CB2069"/>
    <w:rsid w:val="00CB2578"/>
    <w:rsid w:val="00CC087F"/>
    <w:rsid w:val="00CD465A"/>
    <w:rsid w:val="00CE6931"/>
    <w:rsid w:val="00CE74BD"/>
    <w:rsid w:val="00D2445C"/>
    <w:rsid w:val="00D46453"/>
    <w:rsid w:val="00D625FB"/>
    <w:rsid w:val="00D96B90"/>
    <w:rsid w:val="00DA4515"/>
    <w:rsid w:val="00DD7F27"/>
    <w:rsid w:val="00DF5F30"/>
    <w:rsid w:val="00E047DA"/>
    <w:rsid w:val="00E37874"/>
    <w:rsid w:val="00E4517A"/>
    <w:rsid w:val="00E54D24"/>
    <w:rsid w:val="00E72C1E"/>
    <w:rsid w:val="00E94C72"/>
    <w:rsid w:val="00EA5A7B"/>
    <w:rsid w:val="00EB5D03"/>
    <w:rsid w:val="00EC11D7"/>
    <w:rsid w:val="00EC69AF"/>
    <w:rsid w:val="00ED2761"/>
    <w:rsid w:val="00ED6F27"/>
    <w:rsid w:val="00EE124A"/>
    <w:rsid w:val="00EE2ECA"/>
    <w:rsid w:val="00F11E66"/>
    <w:rsid w:val="00F221B0"/>
    <w:rsid w:val="00F25F16"/>
    <w:rsid w:val="00F35717"/>
    <w:rsid w:val="00F402D6"/>
    <w:rsid w:val="00F41334"/>
    <w:rsid w:val="00F44E0E"/>
    <w:rsid w:val="00F91033"/>
    <w:rsid w:val="00FB790B"/>
    <w:rsid w:val="00FC5EE4"/>
    <w:rsid w:val="00FE4FB1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4A92"/>
  <w15:docId w15:val="{63A00119-9CCE-4E2E-8D00-C79F3114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B67"/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B6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4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517A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No Spacing"/>
    <w:uiPriority w:val="1"/>
    <w:qFormat/>
    <w:rsid w:val="005A14F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E37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B055320DF830439B1C328843B73351" ma:contentTypeVersion="0" ma:contentTypeDescription="Створення нового документа." ma:contentTypeScope="" ma:versionID="b737d4b4373e404d49c475feb5c76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8C1A-F8C1-402E-8482-1C112FA27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F926A4-C062-4856-B574-6CF416BF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18F3B3-6F54-4D7B-8B9B-28B56F018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1EA689-67EF-4D1B-BE25-EA760463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3515</Words>
  <Characters>2005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yankova</dc:creator>
  <cp:keywords/>
  <dc:description/>
  <cp:lastModifiedBy>Юзькова Ірина Олександрівна</cp:lastModifiedBy>
  <cp:revision>34</cp:revision>
  <cp:lastPrinted>2024-01-09T10:32:00Z</cp:lastPrinted>
  <dcterms:created xsi:type="dcterms:W3CDTF">2019-02-01T09:06:00Z</dcterms:created>
  <dcterms:modified xsi:type="dcterms:W3CDTF">2024-01-09T10:34:00Z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0x01010068B055320DF830439B1C328843B73351</vt:lpwstr>
  </property>
</Properties>
</file>